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00" w:rsidRDefault="003B0AD7">
      <w:pPr>
        <w:spacing w:after="60"/>
        <w:jc w:val="center"/>
        <w:rPr>
          <w:b/>
        </w:rPr>
      </w:pPr>
      <w:bookmarkStart w:id="0" w:name="_GoBack"/>
      <w:bookmarkEnd w:id="0"/>
      <w:r>
        <w:rPr>
          <w:b/>
        </w:rPr>
        <w:t>Economics 5380-001 / 6380-001</w:t>
      </w:r>
    </w:p>
    <w:p w:rsidR="00FC3500" w:rsidRDefault="003B0AD7">
      <w:pPr>
        <w:spacing w:after="60"/>
        <w:jc w:val="center"/>
        <w:rPr>
          <w:b/>
        </w:rPr>
      </w:pPr>
      <w:r>
        <w:rPr>
          <w:b/>
        </w:rPr>
        <w:t>Law and Economics</w:t>
      </w:r>
    </w:p>
    <w:p w:rsidR="00FC3500" w:rsidRDefault="003B0AD7">
      <w:pPr>
        <w:spacing w:after="60"/>
        <w:jc w:val="center"/>
        <w:rPr>
          <w:b/>
        </w:rPr>
      </w:pPr>
      <w:r>
        <w:rPr>
          <w:b/>
        </w:rPr>
        <w:t>Spring 2013</w:t>
      </w:r>
    </w:p>
    <w:p w:rsidR="00FC3500" w:rsidRDefault="00FC3500">
      <w:pPr>
        <w:jc w:val="center"/>
        <w:rPr>
          <w:b/>
        </w:rPr>
      </w:pPr>
    </w:p>
    <w:p w:rsidR="00FC3500" w:rsidRDefault="00FC3500">
      <w:pPr>
        <w:spacing w:after="120"/>
        <w:jc w:val="left"/>
      </w:pPr>
    </w:p>
    <w:p w:rsidR="00FC3500" w:rsidRDefault="003B0AD7">
      <w:pPr>
        <w:spacing w:after="120"/>
        <w:jc w:val="left"/>
      </w:pPr>
      <w:proofErr w:type="gramStart"/>
      <w:r>
        <w:t>Profs.</w:t>
      </w:r>
      <w:proofErr w:type="gramEnd"/>
      <w:r>
        <w:t xml:space="preserve"> Mark Glick, Cory Sinclair, and Gregory Adams</w:t>
      </w:r>
    </w:p>
    <w:p w:rsidR="00FC3500" w:rsidRDefault="003B0AD7">
      <w:pPr>
        <w:spacing w:after="120"/>
        <w:jc w:val="left"/>
      </w:pPr>
      <w:r>
        <w:t>Class Hours:  Monday 6:00 pm – 9:00 pm</w:t>
      </w:r>
    </w:p>
    <w:p w:rsidR="00FC3500" w:rsidRDefault="003B0AD7">
      <w:pPr>
        <w:spacing w:after="120"/>
        <w:jc w:val="left"/>
      </w:pPr>
      <w:r>
        <w:t xml:space="preserve">Classroom:  </w:t>
      </w:r>
      <w:r w:rsidR="00B440A6">
        <w:t>OSH 175</w:t>
      </w:r>
    </w:p>
    <w:p w:rsidR="00FC3500" w:rsidRDefault="003B0AD7">
      <w:pPr>
        <w:spacing w:after="120"/>
        <w:jc w:val="left"/>
      </w:pPr>
      <w:r>
        <w:t>Office hours:  Before class or by appointment</w:t>
      </w:r>
    </w:p>
    <w:p w:rsidR="00FC3500" w:rsidRDefault="003B0AD7">
      <w:pPr>
        <w:jc w:val="left"/>
      </w:pPr>
      <w:r>
        <w:t xml:space="preserve">E-mail:  </w:t>
      </w:r>
      <w:r w:rsidRPr="008D23D7">
        <w:t>glick@econ.sbs.utah.edu</w:t>
      </w:r>
      <w:r>
        <w:t xml:space="preserve"> </w:t>
      </w:r>
    </w:p>
    <w:p w:rsidR="00FC3500" w:rsidRDefault="003B0AD7">
      <w:pPr>
        <w:ind w:firstLine="720"/>
        <w:jc w:val="left"/>
      </w:pPr>
      <w:r>
        <w:t xml:space="preserve">  </w:t>
      </w:r>
      <w:r w:rsidRPr="008D23D7">
        <w:t>csinclair@parsonsbehle.com</w:t>
      </w:r>
      <w:r>
        <w:br/>
      </w:r>
      <w:r>
        <w:tab/>
        <w:t xml:space="preserve">  </w:t>
      </w:r>
      <w:r w:rsidRPr="008D23D7">
        <w:t>gadams@crai.com</w:t>
      </w:r>
    </w:p>
    <w:p w:rsidR="00FC3500" w:rsidRDefault="00FC3500">
      <w:pPr>
        <w:jc w:val="left"/>
      </w:pPr>
    </w:p>
    <w:p w:rsidR="00FC3500" w:rsidRDefault="003B0AD7">
      <w:pPr>
        <w:jc w:val="left"/>
      </w:pPr>
      <w:r>
        <w:rPr>
          <w:b/>
          <w:u w:val="single"/>
        </w:rPr>
        <w:t>Course Overview</w:t>
      </w:r>
      <w:r>
        <w:rPr>
          <w:b/>
        </w:rPr>
        <w:t>:</w:t>
      </w:r>
    </w:p>
    <w:p w:rsidR="00FC3500" w:rsidRDefault="00FC3500">
      <w:pPr>
        <w:jc w:val="left"/>
      </w:pPr>
    </w:p>
    <w:p w:rsidR="00FC3500" w:rsidRDefault="003B0AD7">
      <w:pPr>
        <w:ind w:firstLine="720"/>
        <w:jc w:val="left"/>
      </w:pPr>
      <w:r>
        <w:t xml:space="preserve">From the Law and Economics Society, quoting from the “Preface of </w:t>
      </w:r>
      <w:proofErr w:type="spellStart"/>
      <w:r>
        <w:t>Cooter</w:t>
      </w:r>
      <w:proofErr w:type="spellEnd"/>
      <w:r>
        <w:t xml:space="preserve"> and </w:t>
      </w:r>
      <w:proofErr w:type="spellStart"/>
      <w:r>
        <w:t>Ulen</w:t>
      </w:r>
      <w:proofErr w:type="spellEnd"/>
      <w:r>
        <w:t>”:</w:t>
      </w:r>
    </w:p>
    <w:p w:rsidR="00FC3500" w:rsidRDefault="00FC3500">
      <w:pPr>
        <w:ind w:firstLine="720"/>
        <w:jc w:val="left"/>
      </w:pPr>
    </w:p>
    <w:p w:rsidR="00FC3500" w:rsidRDefault="003B0AD7">
      <w:pPr>
        <w:ind w:firstLine="720"/>
      </w:pPr>
      <w:r>
        <w:t xml:space="preserve">“The economic analysis of law has already had a profound impact on legal scholarship.  It has been said that the study of law and economics is the most important development in the field of law in the last fifty years.  A course in law and economics has become a part of the standard curriculum in the leading law schools, and most of those law schools have at least one full-time economist as a member of the law faculty.  Centers for the study of law and economics have been established at Stanford, Chicago, Columbia, George Mason, Miami, and other distinguished schools of law.  A majority of the federal judiciary has received formal training in law and economics in short courses provided by several of these centers.  Many of those appointed to the federal bench in the last several years have been academic lawyers who specialized in law and economics—to name only a few, Judges Richard Posner and Frank Easterbrook of the Seventh Circuit; Judge Steven </w:t>
      </w:r>
      <w:proofErr w:type="spellStart"/>
      <w:r>
        <w:t>Breyer</w:t>
      </w:r>
      <w:proofErr w:type="spellEnd"/>
      <w:r>
        <w:t xml:space="preserve"> of the First Circuit [now Supreme Court]; Judge Robert Bork of the D.C. Circuit; Judge Bernard </w:t>
      </w:r>
      <w:proofErr w:type="spellStart"/>
      <w:r>
        <w:t>Siegan</w:t>
      </w:r>
      <w:proofErr w:type="spellEnd"/>
      <w:r>
        <w:t xml:space="preserve"> of the Ninth Circuit; and Justice Antonin Scalia of the United States Supreme Court.”</w:t>
      </w:r>
    </w:p>
    <w:p w:rsidR="00FC3500" w:rsidRDefault="00FC3500">
      <w:pPr>
        <w:ind w:firstLine="720"/>
      </w:pPr>
    </w:p>
    <w:p w:rsidR="00FC3500" w:rsidRDefault="003B0AD7">
      <w:pPr>
        <w:jc w:val="left"/>
      </w:pPr>
      <w:r>
        <w:rPr>
          <w:b/>
          <w:u w:val="single"/>
        </w:rPr>
        <w:t>Course Objectives</w:t>
      </w:r>
      <w:r>
        <w:rPr>
          <w:b/>
        </w:rPr>
        <w:t>:</w:t>
      </w:r>
    </w:p>
    <w:p w:rsidR="00FC3500" w:rsidRDefault="00FC3500">
      <w:pPr>
        <w:jc w:val="left"/>
      </w:pPr>
    </w:p>
    <w:p w:rsidR="00FC3500" w:rsidRDefault="003B0AD7">
      <w:pPr>
        <w:ind w:firstLine="720"/>
      </w:pPr>
      <w:r>
        <w:t xml:space="preserve">This course will survey the basic applications of microeconomic principles to the common law fields of property, torts, contracts, and criminal law.  We will also cover the </w:t>
      </w:r>
      <w:proofErr w:type="gramStart"/>
      <w:r>
        <w:t>additional</w:t>
      </w:r>
      <w:proofErr w:type="gramEnd"/>
      <w:r>
        <w:t xml:space="preserve"> topics in the areas of labor, marriage, and environmental law and economics.</w:t>
      </w:r>
    </w:p>
    <w:p w:rsidR="00FC3500" w:rsidRDefault="00FC3500">
      <w:pPr>
        <w:ind w:firstLine="720"/>
      </w:pPr>
    </w:p>
    <w:p w:rsidR="00FC3500" w:rsidRDefault="003B0AD7">
      <w:pPr>
        <w:jc w:val="left"/>
        <w:rPr>
          <w:b/>
          <w:u w:val="single"/>
        </w:rPr>
      </w:pPr>
      <w:r>
        <w:rPr>
          <w:b/>
          <w:u w:val="single"/>
        </w:rPr>
        <w:t>Teaching and Learning Methods:</w:t>
      </w:r>
    </w:p>
    <w:p w:rsidR="00FC3500" w:rsidRDefault="00FC3500">
      <w:pPr>
        <w:jc w:val="left"/>
        <w:rPr>
          <w:b/>
          <w:u w:val="single"/>
        </w:rPr>
      </w:pPr>
    </w:p>
    <w:p w:rsidR="00FC3500" w:rsidRDefault="003B0AD7">
      <w:pPr>
        <w:ind w:firstLine="720"/>
      </w:pPr>
      <w:r>
        <w:t>This will be a traditional</w:t>
      </w:r>
      <w:r w:rsidR="00B440A6">
        <w:t xml:space="preserve"> reading and lecture course.  Some</w:t>
      </w:r>
      <w:r>
        <w:t xml:space="preserve"> lectures will be avai</w:t>
      </w:r>
      <w:r w:rsidR="00B440A6">
        <w:t>lable on Canvas.  In addition, we</w:t>
      </w:r>
      <w:r>
        <w:t xml:space="preserve"> will encourage active debate in the classroom.  Many topics are highly controversial.  You will be encouraged to speak your mind in this class without any fear of your opinions impacting your grade.</w:t>
      </w:r>
    </w:p>
    <w:p w:rsidR="00FC3500" w:rsidRDefault="00FC3500">
      <w:pPr>
        <w:ind w:firstLine="720"/>
      </w:pPr>
    </w:p>
    <w:p w:rsidR="00FC3500" w:rsidRDefault="003B0AD7">
      <w:pPr>
        <w:keepNext/>
      </w:pPr>
      <w:r>
        <w:rPr>
          <w:b/>
          <w:u w:val="single"/>
        </w:rPr>
        <w:lastRenderedPageBreak/>
        <w:t>Required Books</w:t>
      </w:r>
      <w:r>
        <w:rPr>
          <w:b/>
        </w:rPr>
        <w:t xml:space="preserve">: </w:t>
      </w:r>
    </w:p>
    <w:p w:rsidR="00FC3500" w:rsidRDefault="00FC3500">
      <w:pPr>
        <w:keepNext/>
        <w:rPr>
          <w:i/>
        </w:rPr>
      </w:pPr>
    </w:p>
    <w:p w:rsidR="00FC3500" w:rsidRDefault="003B0AD7">
      <w:r>
        <w:rPr>
          <w:i/>
        </w:rPr>
        <w:t>Law and  Economics</w:t>
      </w:r>
      <w:r>
        <w:t xml:space="preserve">, 5th ed., Robert </w:t>
      </w:r>
      <w:proofErr w:type="spellStart"/>
      <w:r>
        <w:t>Cooter</w:t>
      </w:r>
      <w:proofErr w:type="spellEnd"/>
      <w:r>
        <w:t xml:space="preserve"> &amp; Thomas </w:t>
      </w:r>
      <w:proofErr w:type="spellStart"/>
      <w:r>
        <w:t>Ulen</w:t>
      </w:r>
      <w:proofErr w:type="spellEnd"/>
      <w:r>
        <w:t xml:space="preserve"> (“C&amp;U”), and articles and cases posted on the Web.</w:t>
      </w:r>
    </w:p>
    <w:p w:rsidR="00FC3500" w:rsidRDefault="00FC3500"/>
    <w:p w:rsidR="00FC3500" w:rsidRDefault="003B0AD7">
      <w:pPr>
        <w:rPr>
          <w:b/>
        </w:rPr>
      </w:pPr>
      <w:r>
        <w:rPr>
          <w:b/>
          <w:u w:val="single"/>
        </w:rPr>
        <w:t>Course Requirements</w:t>
      </w:r>
      <w:r>
        <w:rPr>
          <w:b/>
        </w:rPr>
        <w:t xml:space="preserve">:  </w:t>
      </w:r>
    </w:p>
    <w:p w:rsidR="00FC3500" w:rsidRDefault="00FC3500"/>
    <w:p w:rsidR="00FC3500" w:rsidRDefault="003B0AD7">
      <w:r>
        <w:t>Your course grade will consist of a midterm exam worth 50%, and a final exam worth 50%.</w:t>
      </w:r>
    </w:p>
    <w:p w:rsidR="00FC3500" w:rsidRDefault="00FC3500"/>
    <w:p w:rsidR="00FC3500" w:rsidRDefault="003B0AD7">
      <w:pPr>
        <w:rPr>
          <w:b/>
        </w:rPr>
      </w:pPr>
      <w:r>
        <w:rPr>
          <w:b/>
          <w:u w:val="single"/>
        </w:rPr>
        <w:t>Course Schedule</w:t>
      </w:r>
      <w:r>
        <w:rPr>
          <w:b/>
        </w:rPr>
        <w:t xml:space="preserve">:  </w:t>
      </w:r>
    </w:p>
    <w:p w:rsidR="00FC3500" w:rsidRDefault="00FC3500"/>
    <w:tbl>
      <w:tblPr>
        <w:tblStyle w:val="TableGrid"/>
        <w:tblW w:w="0" w:type="auto"/>
        <w:tblLook w:val="04A0" w:firstRow="1" w:lastRow="0" w:firstColumn="1" w:lastColumn="0" w:noHBand="0" w:noVBand="1"/>
      </w:tblPr>
      <w:tblGrid>
        <w:gridCol w:w="1278"/>
        <w:gridCol w:w="3420"/>
        <w:gridCol w:w="3240"/>
        <w:gridCol w:w="1638"/>
      </w:tblGrid>
      <w:tr w:rsidR="00FC3500">
        <w:tc>
          <w:tcPr>
            <w:tcW w:w="1278" w:type="dxa"/>
            <w:shd w:val="clear" w:color="auto" w:fill="F2F2F2" w:themeFill="background1" w:themeFillShade="F2"/>
          </w:tcPr>
          <w:p w:rsidR="00FC3500" w:rsidRDefault="003B0AD7">
            <w:pPr>
              <w:spacing w:before="60" w:after="60"/>
              <w:jc w:val="center"/>
              <w:rPr>
                <w:b/>
              </w:rPr>
            </w:pPr>
            <w:r>
              <w:rPr>
                <w:b/>
              </w:rPr>
              <w:t>Date</w:t>
            </w:r>
          </w:p>
        </w:tc>
        <w:tc>
          <w:tcPr>
            <w:tcW w:w="3420" w:type="dxa"/>
            <w:shd w:val="clear" w:color="auto" w:fill="F2F2F2" w:themeFill="background1" w:themeFillShade="F2"/>
          </w:tcPr>
          <w:p w:rsidR="00FC3500" w:rsidRDefault="003B0AD7">
            <w:pPr>
              <w:spacing w:before="60" w:after="60"/>
              <w:jc w:val="center"/>
              <w:rPr>
                <w:b/>
              </w:rPr>
            </w:pPr>
            <w:r>
              <w:rPr>
                <w:b/>
              </w:rPr>
              <w:t>Topic</w:t>
            </w:r>
          </w:p>
        </w:tc>
        <w:tc>
          <w:tcPr>
            <w:tcW w:w="3240" w:type="dxa"/>
            <w:shd w:val="clear" w:color="auto" w:fill="F2F2F2" w:themeFill="background1" w:themeFillShade="F2"/>
          </w:tcPr>
          <w:p w:rsidR="00FC3500" w:rsidRDefault="003B0AD7">
            <w:pPr>
              <w:spacing w:before="60" w:after="60"/>
              <w:jc w:val="center"/>
              <w:rPr>
                <w:b/>
              </w:rPr>
            </w:pPr>
            <w:r>
              <w:rPr>
                <w:b/>
              </w:rPr>
              <w:t>Reading</w:t>
            </w:r>
          </w:p>
        </w:tc>
        <w:tc>
          <w:tcPr>
            <w:tcW w:w="1638" w:type="dxa"/>
            <w:shd w:val="clear" w:color="auto" w:fill="F2F2F2" w:themeFill="background1" w:themeFillShade="F2"/>
          </w:tcPr>
          <w:p w:rsidR="00FC3500" w:rsidRDefault="003B0AD7">
            <w:pPr>
              <w:spacing w:before="60" w:after="60"/>
              <w:jc w:val="center"/>
              <w:rPr>
                <w:b/>
              </w:rPr>
            </w:pPr>
            <w:r>
              <w:rPr>
                <w:b/>
              </w:rPr>
              <w:t>Presentations</w:t>
            </w:r>
          </w:p>
        </w:tc>
      </w:tr>
      <w:tr w:rsidR="00FC3500">
        <w:tc>
          <w:tcPr>
            <w:tcW w:w="1278" w:type="dxa"/>
          </w:tcPr>
          <w:p w:rsidR="00FC3500" w:rsidRDefault="003B0AD7">
            <w:pPr>
              <w:spacing w:before="60" w:after="60"/>
              <w:ind w:left="245"/>
            </w:pPr>
            <w:r>
              <w:t>1/7</w:t>
            </w:r>
          </w:p>
        </w:tc>
        <w:tc>
          <w:tcPr>
            <w:tcW w:w="3420" w:type="dxa"/>
          </w:tcPr>
          <w:p w:rsidR="00FC3500" w:rsidRDefault="003B0AD7">
            <w:pPr>
              <w:spacing w:before="60" w:after="60"/>
            </w:pPr>
            <w:r>
              <w:t>Introduction</w:t>
            </w:r>
          </w:p>
        </w:tc>
        <w:tc>
          <w:tcPr>
            <w:tcW w:w="3240" w:type="dxa"/>
          </w:tcPr>
          <w:p w:rsidR="00FC3500" w:rsidRDefault="003B0AD7">
            <w:pPr>
              <w:spacing w:before="60" w:after="60"/>
              <w:ind w:left="252"/>
            </w:pPr>
            <w:r>
              <w:t>C&amp;U, Ch. 1</w:t>
            </w:r>
          </w:p>
        </w:tc>
        <w:tc>
          <w:tcPr>
            <w:tcW w:w="1638" w:type="dxa"/>
          </w:tcPr>
          <w:p w:rsidR="00FC3500" w:rsidRDefault="003B0AD7">
            <w:pPr>
              <w:spacing w:before="60" w:after="60"/>
              <w:ind w:left="162"/>
            </w:pPr>
            <w:r>
              <w:t>Glick</w:t>
            </w:r>
          </w:p>
        </w:tc>
      </w:tr>
      <w:tr w:rsidR="00FC3500">
        <w:tc>
          <w:tcPr>
            <w:tcW w:w="1278" w:type="dxa"/>
          </w:tcPr>
          <w:p w:rsidR="00FC3500" w:rsidRDefault="003B0AD7">
            <w:pPr>
              <w:spacing w:before="60" w:after="60"/>
              <w:ind w:left="245"/>
            </w:pPr>
            <w:r>
              <w:t>1/14</w:t>
            </w:r>
          </w:p>
        </w:tc>
        <w:tc>
          <w:tcPr>
            <w:tcW w:w="3420" w:type="dxa"/>
          </w:tcPr>
          <w:p w:rsidR="00FC3500" w:rsidRDefault="003B0AD7">
            <w:pPr>
              <w:spacing w:before="60" w:after="60"/>
            </w:pPr>
            <w:r>
              <w:t>Property</w:t>
            </w:r>
          </w:p>
        </w:tc>
        <w:tc>
          <w:tcPr>
            <w:tcW w:w="3240" w:type="dxa"/>
          </w:tcPr>
          <w:p w:rsidR="00FC3500" w:rsidRDefault="003B0AD7">
            <w:pPr>
              <w:spacing w:before="60" w:after="60"/>
              <w:ind w:left="252"/>
            </w:pPr>
            <w:r>
              <w:t>C&amp;U, Ch. 5</w:t>
            </w:r>
          </w:p>
        </w:tc>
        <w:tc>
          <w:tcPr>
            <w:tcW w:w="1638" w:type="dxa"/>
          </w:tcPr>
          <w:p w:rsidR="00FC3500" w:rsidRDefault="003B0AD7">
            <w:pPr>
              <w:spacing w:before="60" w:after="60"/>
              <w:ind w:left="162"/>
            </w:pPr>
            <w:r>
              <w:t>Glick</w:t>
            </w:r>
          </w:p>
        </w:tc>
      </w:tr>
      <w:tr w:rsidR="00FC3500">
        <w:tc>
          <w:tcPr>
            <w:tcW w:w="1278" w:type="dxa"/>
          </w:tcPr>
          <w:p w:rsidR="00FC3500" w:rsidRDefault="003B0AD7">
            <w:pPr>
              <w:spacing w:before="60" w:after="60"/>
              <w:ind w:left="245"/>
            </w:pPr>
            <w:r>
              <w:t>1/21</w:t>
            </w:r>
          </w:p>
        </w:tc>
        <w:tc>
          <w:tcPr>
            <w:tcW w:w="3420" w:type="dxa"/>
          </w:tcPr>
          <w:p w:rsidR="00FC3500" w:rsidRDefault="003B0AD7">
            <w:pPr>
              <w:spacing w:before="60" w:after="60"/>
              <w:rPr>
                <w:b/>
              </w:rPr>
            </w:pPr>
            <w:r>
              <w:rPr>
                <w:b/>
              </w:rPr>
              <w:t>HOLIDAY</w:t>
            </w:r>
          </w:p>
        </w:tc>
        <w:tc>
          <w:tcPr>
            <w:tcW w:w="3240" w:type="dxa"/>
          </w:tcPr>
          <w:p w:rsidR="00FC3500" w:rsidRDefault="00FC3500">
            <w:pPr>
              <w:spacing w:before="60" w:after="60"/>
              <w:ind w:left="252"/>
            </w:pPr>
          </w:p>
        </w:tc>
        <w:tc>
          <w:tcPr>
            <w:tcW w:w="1638" w:type="dxa"/>
          </w:tcPr>
          <w:p w:rsidR="00FC3500" w:rsidRDefault="00FC3500">
            <w:pPr>
              <w:spacing w:before="60" w:after="60"/>
              <w:ind w:left="162"/>
            </w:pPr>
          </w:p>
        </w:tc>
      </w:tr>
      <w:tr w:rsidR="00FC3500">
        <w:tc>
          <w:tcPr>
            <w:tcW w:w="1278" w:type="dxa"/>
          </w:tcPr>
          <w:p w:rsidR="00FC3500" w:rsidRDefault="003B0AD7">
            <w:pPr>
              <w:spacing w:before="60" w:after="60"/>
              <w:ind w:left="245"/>
            </w:pPr>
            <w:r>
              <w:t>1/28</w:t>
            </w:r>
          </w:p>
        </w:tc>
        <w:tc>
          <w:tcPr>
            <w:tcW w:w="3420" w:type="dxa"/>
          </w:tcPr>
          <w:p w:rsidR="00FC3500" w:rsidRDefault="003B0AD7">
            <w:pPr>
              <w:spacing w:before="60" w:after="60"/>
            </w:pPr>
            <w:r>
              <w:t>Contracts</w:t>
            </w:r>
          </w:p>
        </w:tc>
        <w:tc>
          <w:tcPr>
            <w:tcW w:w="3240" w:type="dxa"/>
          </w:tcPr>
          <w:p w:rsidR="00FC3500" w:rsidRDefault="003B0AD7">
            <w:pPr>
              <w:spacing w:before="60" w:after="60"/>
              <w:ind w:left="252"/>
            </w:pPr>
            <w:r>
              <w:t>C&amp;U, Ch. 6</w:t>
            </w:r>
          </w:p>
        </w:tc>
        <w:tc>
          <w:tcPr>
            <w:tcW w:w="1638" w:type="dxa"/>
          </w:tcPr>
          <w:p w:rsidR="00FC3500" w:rsidRDefault="003B0AD7">
            <w:pPr>
              <w:spacing w:before="60" w:after="60"/>
              <w:ind w:left="162"/>
            </w:pPr>
            <w:r>
              <w:t>Sinclair</w:t>
            </w:r>
          </w:p>
        </w:tc>
      </w:tr>
      <w:tr w:rsidR="00FC3500">
        <w:tc>
          <w:tcPr>
            <w:tcW w:w="1278" w:type="dxa"/>
          </w:tcPr>
          <w:p w:rsidR="00FC3500" w:rsidRDefault="003B0AD7">
            <w:pPr>
              <w:spacing w:before="60" w:after="60"/>
              <w:ind w:left="245"/>
            </w:pPr>
            <w:r>
              <w:t>2/4</w:t>
            </w:r>
          </w:p>
        </w:tc>
        <w:tc>
          <w:tcPr>
            <w:tcW w:w="3420" w:type="dxa"/>
          </w:tcPr>
          <w:p w:rsidR="00FC3500" w:rsidRDefault="003B0AD7">
            <w:pPr>
              <w:spacing w:before="60" w:after="60"/>
            </w:pPr>
            <w:r>
              <w:t>Contracts</w:t>
            </w:r>
          </w:p>
        </w:tc>
        <w:tc>
          <w:tcPr>
            <w:tcW w:w="3240" w:type="dxa"/>
          </w:tcPr>
          <w:p w:rsidR="00FC3500" w:rsidRDefault="003B0AD7">
            <w:pPr>
              <w:spacing w:before="60" w:after="60"/>
              <w:ind w:left="252"/>
            </w:pPr>
            <w:r>
              <w:t>C&amp;U, Ch. 7</w:t>
            </w:r>
          </w:p>
        </w:tc>
        <w:tc>
          <w:tcPr>
            <w:tcW w:w="1638" w:type="dxa"/>
          </w:tcPr>
          <w:p w:rsidR="00FC3500" w:rsidRDefault="003B0AD7">
            <w:pPr>
              <w:spacing w:before="60" w:after="60"/>
              <w:ind w:left="162"/>
            </w:pPr>
            <w:r>
              <w:t>Sinclair</w:t>
            </w:r>
          </w:p>
        </w:tc>
      </w:tr>
      <w:tr w:rsidR="00FC3500">
        <w:tc>
          <w:tcPr>
            <w:tcW w:w="1278" w:type="dxa"/>
          </w:tcPr>
          <w:p w:rsidR="00FC3500" w:rsidRDefault="003B0AD7">
            <w:pPr>
              <w:spacing w:before="60" w:after="60"/>
              <w:ind w:left="245"/>
            </w:pPr>
            <w:r>
              <w:t>2/11</w:t>
            </w:r>
          </w:p>
        </w:tc>
        <w:tc>
          <w:tcPr>
            <w:tcW w:w="3420" w:type="dxa"/>
          </w:tcPr>
          <w:p w:rsidR="00FC3500" w:rsidRDefault="003B0AD7">
            <w:pPr>
              <w:spacing w:before="60" w:after="60"/>
            </w:pPr>
            <w:r>
              <w:t>Torts</w:t>
            </w:r>
          </w:p>
        </w:tc>
        <w:tc>
          <w:tcPr>
            <w:tcW w:w="3240" w:type="dxa"/>
          </w:tcPr>
          <w:p w:rsidR="00FC3500" w:rsidRDefault="003B0AD7">
            <w:pPr>
              <w:spacing w:before="60" w:after="60"/>
              <w:ind w:left="252"/>
            </w:pPr>
            <w:r>
              <w:t>C&amp;U, Ch. 8</w:t>
            </w:r>
          </w:p>
        </w:tc>
        <w:tc>
          <w:tcPr>
            <w:tcW w:w="1638" w:type="dxa"/>
          </w:tcPr>
          <w:p w:rsidR="00FC3500" w:rsidRDefault="003B0AD7">
            <w:pPr>
              <w:spacing w:before="60" w:after="60"/>
              <w:ind w:left="162"/>
            </w:pPr>
            <w:r>
              <w:t>Sinclair</w:t>
            </w:r>
          </w:p>
        </w:tc>
      </w:tr>
      <w:tr w:rsidR="00FC3500">
        <w:tc>
          <w:tcPr>
            <w:tcW w:w="1278" w:type="dxa"/>
          </w:tcPr>
          <w:p w:rsidR="00FC3500" w:rsidRDefault="003B0AD7">
            <w:pPr>
              <w:spacing w:before="60" w:after="60"/>
              <w:ind w:left="245"/>
            </w:pPr>
            <w:r>
              <w:t>2/18</w:t>
            </w:r>
          </w:p>
        </w:tc>
        <w:tc>
          <w:tcPr>
            <w:tcW w:w="3420" w:type="dxa"/>
          </w:tcPr>
          <w:p w:rsidR="00FC3500" w:rsidRDefault="003B0AD7">
            <w:pPr>
              <w:spacing w:before="60" w:after="60"/>
            </w:pPr>
            <w:r>
              <w:rPr>
                <w:b/>
              </w:rPr>
              <w:t>HOLIDAY</w:t>
            </w:r>
          </w:p>
        </w:tc>
        <w:tc>
          <w:tcPr>
            <w:tcW w:w="3240" w:type="dxa"/>
          </w:tcPr>
          <w:p w:rsidR="00FC3500" w:rsidRDefault="00FC3500">
            <w:pPr>
              <w:spacing w:before="60" w:after="60"/>
              <w:ind w:left="252"/>
            </w:pPr>
          </w:p>
        </w:tc>
        <w:tc>
          <w:tcPr>
            <w:tcW w:w="1638" w:type="dxa"/>
          </w:tcPr>
          <w:p w:rsidR="00FC3500" w:rsidRDefault="00FC3500">
            <w:pPr>
              <w:spacing w:before="60" w:after="60"/>
              <w:ind w:left="162"/>
            </w:pPr>
          </w:p>
        </w:tc>
      </w:tr>
      <w:tr w:rsidR="00FC3500">
        <w:tc>
          <w:tcPr>
            <w:tcW w:w="1278" w:type="dxa"/>
          </w:tcPr>
          <w:p w:rsidR="00FC3500" w:rsidRDefault="003B0AD7">
            <w:pPr>
              <w:spacing w:before="60" w:after="60"/>
              <w:ind w:left="245"/>
            </w:pPr>
            <w:r>
              <w:t>2/25</w:t>
            </w:r>
          </w:p>
        </w:tc>
        <w:tc>
          <w:tcPr>
            <w:tcW w:w="3420" w:type="dxa"/>
          </w:tcPr>
          <w:p w:rsidR="00FC3500" w:rsidRDefault="003B0AD7">
            <w:pPr>
              <w:spacing w:before="60" w:after="60"/>
            </w:pPr>
            <w:r>
              <w:t>Torts</w:t>
            </w:r>
          </w:p>
        </w:tc>
        <w:tc>
          <w:tcPr>
            <w:tcW w:w="3240" w:type="dxa"/>
          </w:tcPr>
          <w:p w:rsidR="00FC3500" w:rsidRDefault="003B0AD7">
            <w:pPr>
              <w:spacing w:before="60" w:after="60"/>
              <w:ind w:left="252"/>
            </w:pPr>
            <w:r>
              <w:t>C&amp;U, Ch. 9</w:t>
            </w:r>
          </w:p>
        </w:tc>
        <w:tc>
          <w:tcPr>
            <w:tcW w:w="1638" w:type="dxa"/>
          </w:tcPr>
          <w:p w:rsidR="00FC3500" w:rsidRDefault="003B0AD7">
            <w:pPr>
              <w:spacing w:before="60" w:after="60"/>
              <w:ind w:left="162"/>
            </w:pPr>
            <w:r>
              <w:t>Sinclair</w:t>
            </w:r>
          </w:p>
        </w:tc>
      </w:tr>
      <w:tr w:rsidR="00FC3500">
        <w:tc>
          <w:tcPr>
            <w:tcW w:w="1278" w:type="dxa"/>
          </w:tcPr>
          <w:p w:rsidR="00FC3500" w:rsidRDefault="003B0AD7">
            <w:pPr>
              <w:spacing w:before="60" w:after="60"/>
              <w:ind w:left="245"/>
            </w:pPr>
            <w:r>
              <w:t>3/4</w:t>
            </w:r>
          </w:p>
        </w:tc>
        <w:tc>
          <w:tcPr>
            <w:tcW w:w="3420" w:type="dxa"/>
          </w:tcPr>
          <w:p w:rsidR="00FC3500" w:rsidRDefault="003B0AD7">
            <w:pPr>
              <w:spacing w:before="60" w:after="60"/>
            </w:pPr>
            <w:r>
              <w:rPr>
                <w:b/>
                <w:smallCaps/>
              </w:rPr>
              <w:t>Midterm Exam</w:t>
            </w:r>
          </w:p>
        </w:tc>
        <w:tc>
          <w:tcPr>
            <w:tcW w:w="3240" w:type="dxa"/>
          </w:tcPr>
          <w:p w:rsidR="00FC3500" w:rsidRDefault="00FC3500">
            <w:pPr>
              <w:spacing w:before="60" w:after="60"/>
              <w:ind w:left="252"/>
            </w:pPr>
          </w:p>
        </w:tc>
        <w:tc>
          <w:tcPr>
            <w:tcW w:w="1638" w:type="dxa"/>
          </w:tcPr>
          <w:p w:rsidR="00FC3500" w:rsidRDefault="003B0AD7">
            <w:pPr>
              <w:spacing w:before="60" w:after="60"/>
              <w:ind w:left="162"/>
            </w:pPr>
            <w:r>
              <w:t>Glick</w:t>
            </w:r>
          </w:p>
        </w:tc>
      </w:tr>
      <w:tr w:rsidR="00FC3500">
        <w:tc>
          <w:tcPr>
            <w:tcW w:w="1278" w:type="dxa"/>
          </w:tcPr>
          <w:p w:rsidR="00FC3500" w:rsidRDefault="003B0AD7">
            <w:pPr>
              <w:spacing w:before="60" w:after="60"/>
              <w:ind w:left="245"/>
            </w:pPr>
            <w:r>
              <w:t>3/11</w:t>
            </w:r>
          </w:p>
        </w:tc>
        <w:tc>
          <w:tcPr>
            <w:tcW w:w="3420" w:type="dxa"/>
          </w:tcPr>
          <w:p w:rsidR="00FC3500" w:rsidRDefault="003B0AD7">
            <w:pPr>
              <w:spacing w:before="60" w:after="60"/>
              <w:rPr>
                <w:b/>
              </w:rPr>
            </w:pPr>
            <w:r>
              <w:rPr>
                <w:b/>
              </w:rPr>
              <w:t>SPRING BREAK</w:t>
            </w:r>
          </w:p>
        </w:tc>
        <w:tc>
          <w:tcPr>
            <w:tcW w:w="3240" w:type="dxa"/>
          </w:tcPr>
          <w:p w:rsidR="00FC3500" w:rsidRDefault="00FC3500">
            <w:pPr>
              <w:spacing w:before="60" w:after="60"/>
              <w:ind w:left="252"/>
            </w:pPr>
          </w:p>
        </w:tc>
        <w:tc>
          <w:tcPr>
            <w:tcW w:w="1638" w:type="dxa"/>
          </w:tcPr>
          <w:p w:rsidR="00FC3500" w:rsidRDefault="00FC3500">
            <w:pPr>
              <w:spacing w:before="60" w:after="60"/>
              <w:ind w:left="162"/>
            </w:pPr>
          </w:p>
        </w:tc>
      </w:tr>
      <w:tr w:rsidR="00FC3500">
        <w:tc>
          <w:tcPr>
            <w:tcW w:w="1278" w:type="dxa"/>
          </w:tcPr>
          <w:p w:rsidR="00FC3500" w:rsidRDefault="003B0AD7">
            <w:pPr>
              <w:spacing w:before="60" w:after="60"/>
              <w:ind w:left="245"/>
            </w:pPr>
            <w:r>
              <w:t>3/18</w:t>
            </w:r>
          </w:p>
        </w:tc>
        <w:tc>
          <w:tcPr>
            <w:tcW w:w="3420" w:type="dxa"/>
          </w:tcPr>
          <w:p w:rsidR="00FC3500" w:rsidRDefault="003B0AD7">
            <w:pPr>
              <w:spacing w:before="120" w:after="120"/>
            </w:pPr>
            <w:r>
              <w:t>Criminal Law/Punitive Damages</w:t>
            </w:r>
          </w:p>
        </w:tc>
        <w:tc>
          <w:tcPr>
            <w:tcW w:w="3240" w:type="dxa"/>
          </w:tcPr>
          <w:p w:rsidR="00FC3500" w:rsidRDefault="003B0AD7">
            <w:pPr>
              <w:spacing w:before="60" w:after="60"/>
              <w:ind w:left="252"/>
            </w:pPr>
            <w:r>
              <w:t>C&amp;U pp. 454-484, 257-261 and posted reading</w:t>
            </w:r>
          </w:p>
        </w:tc>
        <w:tc>
          <w:tcPr>
            <w:tcW w:w="1638" w:type="dxa"/>
          </w:tcPr>
          <w:p w:rsidR="00FC3500" w:rsidRDefault="003B0AD7">
            <w:pPr>
              <w:spacing w:before="60" w:after="60"/>
              <w:ind w:left="162"/>
            </w:pPr>
            <w:r>
              <w:t>Adams</w:t>
            </w:r>
          </w:p>
        </w:tc>
      </w:tr>
      <w:tr w:rsidR="00FC3500">
        <w:tc>
          <w:tcPr>
            <w:tcW w:w="1278" w:type="dxa"/>
          </w:tcPr>
          <w:p w:rsidR="00FC3500" w:rsidRDefault="003B0AD7">
            <w:pPr>
              <w:spacing w:before="60" w:after="60"/>
              <w:ind w:left="245"/>
            </w:pPr>
            <w:r>
              <w:t>3/25</w:t>
            </w:r>
          </w:p>
        </w:tc>
        <w:tc>
          <w:tcPr>
            <w:tcW w:w="3420" w:type="dxa"/>
          </w:tcPr>
          <w:p w:rsidR="00FC3500" w:rsidRDefault="003B0AD7">
            <w:pPr>
              <w:spacing w:before="60" w:after="60"/>
            </w:pPr>
            <w:r>
              <w:t>Environmental Regulation</w:t>
            </w:r>
          </w:p>
        </w:tc>
        <w:tc>
          <w:tcPr>
            <w:tcW w:w="3240" w:type="dxa"/>
          </w:tcPr>
          <w:p w:rsidR="00FC3500" w:rsidRDefault="003B0AD7">
            <w:pPr>
              <w:spacing w:before="60" w:after="60"/>
              <w:ind w:left="252"/>
            </w:pPr>
            <w:r>
              <w:t>Posted readings</w:t>
            </w:r>
          </w:p>
        </w:tc>
        <w:tc>
          <w:tcPr>
            <w:tcW w:w="1638" w:type="dxa"/>
          </w:tcPr>
          <w:p w:rsidR="00FC3500" w:rsidRDefault="003B0AD7">
            <w:pPr>
              <w:spacing w:before="60" w:after="60"/>
              <w:ind w:left="162"/>
            </w:pPr>
            <w:r>
              <w:t>Adams</w:t>
            </w:r>
          </w:p>
        </w:tc>
      </w:tr>
      <w:tr w:rsidR="00FC3500">
        <w:tc>
          <w:tcPr>
            <w:tcW w:w="1278" w:type="dxa"/>
          </w:tcPr>
          <w:p w:rsidR="00FC3500" w:rsidRDefault="003B0AD7">
            <w:pPr>
              <w:spacing w:before="60" w:after="60"/>
              <w:ind w:left="245"/>
            </w:pPr>
            <w:r>
              <w:t>4/1</w:t>
            </w:r>
          </w:p>
        </w:tc>
        <w:tc>
          <w:tcPr>
            <w:tcW w:w="3420" w:type="dxa"/>
          </w:tcPr>
          <w:p w:rsidR="00FC3500" w:rsidRDefault="003B0AD7">
            <w:pPr>
              <w:spacing w:before="60" w:after="60"/>
            </w:pPr>
            <w:r>
              <w:t>Minimum Wages/Employment</w:t>
            </w:r>
          </w:p>
        </w:tc>
        <w:tc>
          <w:tcPr>
            <w:tcW w:w="3240" w:type="dxa"/>
          </w:tcPr>
          <w:p w:rsidR="00FC3500" w:rsidRDefault="003B0AD7">
            <w:pPr>
              <w:spacing w:before="60" w:after="60"/>
              <w:ind w:left="252"/>
            </w:pPr>
            <w:r>
              <w:t>Posted readings</w:t>
            </w:r>
          </w:p>
        </w:tc>
        <w:tc>
          <w:tcPr>
            <w:tcW w:w="1638" w:type="dxa"/>
          </w:tcPr>
          <w:p w:rsidR="00FC3500" w:rsidRDefault="003B0AD7">
            <w:pPr>
              <w:spacing w:before="60" w:after="60"/>
              <w:ind w:left="162"/>
            </w:pPr>
            <w:r>
              <w:t>Adams</w:t>
            </w:r>
          </w:p>
        </w:tc>
      </w:tr>
      <w:tr w:rsidR="00FC3500">
        <w:tc>
          <w:tcPr>
            <w:tcW w:w="1278" w:type="dxa"/>
          </w:tcPr>
          <w:p w:rsidR="00FC3500" w:rsidRDefault="003B0AD7">
            <w:pPr>
              <w:spacing w:before="60" w:after="60"/>
              <w:ind w:left="245"/>
            </w:pPr>
            <w:r>
              <w:t>4/8</w:t>
            </w:r>
          </w:p>
        </w:tc>
        <w:tc>
          <w:tcPr>
            <w:tcW w:w="3420" w:type="dxa"/>
          </w:tcPr>
          <w:p w:rsidR="00FC3500" w:rsidRDefault="003B0AD7">
            <w:pPr>
              <w:spacing w:before="60" w:after="60"/>
            </w:pPr>
            <w:r>
              <w:t>Intellectual Property</w:t>
            </w:r>
          </w:p>
        </w:tc>
        <w:tc>
          <w:tcPr>
            <w:tcW w:w="3240" w:type="dxa"/>
          </w:tcPr>
          <w:p w:rsidR="00FC3500" w:rsidRDefault="003B0AD7">
            <w:pPr>
              <w:spacing w:before="60" w:after="60"/>
              <w:ind w:left="252"/>
            </w:pPr>
            <w:r>
              <w:t>Posted readings</w:t>
            </w:r>
          </w:p>
        </w:tc>
        <w:tc>
          <w:tcPr>
            <w:tcW w:w="1638" w:type="dxa"/>
          </w:tcPr>
          <w:p w:rsidR="00FC3500" w:rsidRDefault="003B0AD7">
            <w:pPr>
              <w:spacing w:before="60" w:after="60"/>
              <w:ind w:left="162"/>
            </w:pPr>
            <w:r>
              <w:t>Glick</w:t>
            </w:r>
          </w:p>
        </w:tc>
      </w:tr>
      <w:tr w:rsidR="00FC3500">
        <w:tc>
          <w:tcPr>
            <w:tcW w:w="1278" w:type="dxa"/>
          </w:tcPr>
          <w:p w:rsidR="00FC3500" w:rsidRDefault="003B0AD7">
            <w:pPr>
              <w:spacing w:before="60" w:after="60"/>
              <w:ind w:left="245"/>
            </w:pPr>
            <w:r>
              <w:t>4/15</w:t>
            </w:r>
          </w:p>
        </w:tc>
        <w:tc>
          <w:tcPr>
            <w:tcW w:w="3420" w:type="dxa"/>
          </w:tcPr>
          <w:p w:rsidR="00FC3500" w:rsidRDefault="003B0AD7">
            <w:pPr>
              <w:spacing w:before="60" w:after="60"/>
            </w:pPr>
            <w:r>
              <w:t>Intellectual Property</w:t>
            </w:r>
          </w:p>
        </w:tc>
        <w:tc>
          <w:tcPr>
            <w:tcW w:w="3240" w:type="dxa"/>
          </w:tcPr>
          <w:p w:rsidR="00FC3500" w:rsidRDefault="003B0AD7">
            <w:pPr>
              <w:spacing w:before="60" w:after="60"/>
              <w:ind w:left="252"/>
            </w:pPr>
            <w:r>
              <w:t>Posted readings</w:t>
            </w:r>
          </w:p>
        </w:tc>
        <w:tc>
          <w:tcPr>
            <w:tcW w:w="1638" w:type="dxa"/>
          </w:tcPr>
          <w:p w:rsidR="00FC3500" w:rsidRDefault="003B0AD7">
            <w:pPr>
              <w:spacing w:before="60" w:after="60"/>
              <w:ind w:left="162"/>
            </w:pPr>
            <w:r>
              <w:t>Glick</w:t>
            </w:r>
          </w:p>
        </w:tc>
      </w:tr>
      <w:tr w:rsidR="00FC3500">
        <w:tc>
          <w:tcPr>
            <w:tcW w:w="1278" w:type="dxa"/>
          </w:tcPr>
          <w:p w:rsidR="00FC3500" w:rsidRDefault="003B0AD7">
            <w:pPr>
              <w:spacing w:before="60" w:after="60"/>
              <w:ind w:left="245"/>
            </w:pPr>
            <w:r>
              <w:t>4/22</w:t>
            </w:r>
          </w:p>
        </w:tc>
        <w:tc>
          <w:tcPr>
            <w:tcW w:w="3420" w:type="dxa"/>
          </w:tcPr>
          <w:p w:rsidR="00FC3500" w:rsidRDefault="003B0AD7">
            <w:pPr>
              <w:spacing w:before="60" w:after="60"/>
            </w:pPr>
            <w:r>
              <w:t>Intellectual Property</w:t>
            </w:r>
          </w:p>
        </w:tc>
        <w:tc>
          <w:tcPr>
            <w:tcW w:w="3240" w:type="dxa"/>
          </w:tcPr>
          <w:p w:rsidR="00FC3500" w:rsidRDefault="003B0AD7">
            <w:pPr>
              <w:spacing w:before="60" w:after="60"/>
              <w:ind w:left="252"/>
            </w:pPr>
            <w:r>
              <w:t>Posted readings</w:t>
            </w:r>
          </w:p>
        </w:tc>
        <w:tc>
          <w:tcPr>
            <w:tcW w:w="1638" w:type="dxa"/>
          </w:tcPr>
          <w:p w:rsidR="00FC3500" w:rsidRDefault="003B0AD7">
            <w:pPr>
              <w:spacing w:before="60" w:after="60"/>
              <w:ind w:left="162"/>
            </w:pPr>
            <w:r>
              <w:t>Glick</w:t>
            </w:r>
          </w:p>
        </w:tc>
      </w:tr>
      <w:tr w:rsidR="00FC3500">
        <w:tc>
          <w:tcPr>
            <w:tcW w:w="1278" w:type="dxa"/>
          </w:tcPr>
          <w:p w:rsidR="00FC3500" w:rsidRDefault="003B0AD7">
            <w:pPr>
              <w:spacing w:before="60" w:after="60"/>
              <w:ind w:left="245"/>
            </w:pPr>
            <w:r>
              <w:t>4/29</w:t>
            </w:r>
          </w:p>
        </w:tc>
        <w:tc>
          <w:tcPr>
            <w:tcW w:w="3420" w:type="dxa"/>
          </w:tcPr>
          <w:p w:rsidR="00FC3500" w:rsidRDefault="003B0AD7">
            <w:pPr>
              <w:spacing w:before="60" w:after="60"/>
              <w:rPr>
                <w:b/>
                <w:smallCaps/>
              </w:rPr>
            </w:pPr>
            <w:r>
              <w:rPr>
                <w:b/>
                <w:smallCaps/>
              </w:rPr>
              <w:t>Final Exam</w:t>
            </w:r>
          </w:p>
        </w:tc>
        <w:tc>
          <w:tcPr>
            <w:tcW w:w="3240" w:type="dxa"/>
          </w:tcPr>
          <w:p w:rsidR="00FC3500" w:rsidRDefault="00FC3500">
            <w:pPr>
              <w:spacing w:before="60" w:after="60"/>
              <w:ind w:left="252"/>
            </w:pPr>
          </w:p>
        </w:tc>
        <w:tc>
          <w:tcPr>
            <w:tcW w:w="1638" w:type="dxa"/>
          </w:tcPr>
          <w:p w:rsidR="00FC3500" w:rsidRDefault="003B0AD7">
            <w:pPr>
              <w:spacing w:before="60" w:after="60"/>
              <w:ind w:left="162"/>
            </w:pPr>
            <w:r>
              <w:t>Glick</w:t>
            </w:r>
          </w:p>
        </w:tc>
      </w:tr>
    </w:tbl>
    <w:p w:rsidR="00FC3500" w:rsidRDefault="00FC3500"/>
    <w:p w:rsidR="00FC3500" w:rsidRDefault="003B0AD7">
      <w:pPr>
        <w:keepNext/>
        <w:rPr>
          <w:b/>
        </w:rPr>
      </w:pPr>
      <w:r>
        <w:rPr>
          <w:b/>
          <w:u w:val="single"/>
        </w:rPr>
        <w:t>Policies</w:t>
      </w:r>
      <w:r>
        <w:rPr>
          <w:b/>
        </w:rPr>
        <w:t>:</w:t>
      </w:r>
    </w:p>
    <w:p w:rsidR="00FC3500" w:rsidRDefault="00FC3500">
      <w:pPr>
        <w:keepNext/>
      </w:pPr>
    </w:p>
    <w:p w:rsidR="00FC3500" w:rsidRDefault="003B0AD7">
      <w:pPr>
        <w:ind w:firstLine="720"/>
      </w:pPr>
      <w:r>
        <w:t xml:space="preserve">The Economics Department’s policy toward </w:t>
      </w:r>
      <w:proofErr w:type="spellStart"/>
      <w:r>
        <w:t>unscholastic</w:t>
      </w:r>
      <w:proofErr w:type="spellEnd"/>
      <w:r>
        <w:t xml:space="preserve"> behavior is as follows:  “</w:t>
      </w:r>
      <w:proofErr w:type="spellStart"/>
      <w:r>
        <w:t>Unscholastic</w:t>
      </w:r>
      <w:proofErr w:type="spellEnd"/>
      <w:r>
        <w:t xml:space="preserve"> behavior (e.g., excessive absences, plagiarism, </w:t>
      </w:r>
      <w:proofErr w:type="gramStart"/>
      <w:r>
        <w:t>disruptive</w:t>
      </w:r>
      <w:proofErr w:type="gramEnd"/>
      <w:r>
        <w:t xml:space="preserve"> behavior) may lead to expulsion from and to failure of the class.”</w:t>
      </w:r>
    </w:p>
    <w:p w:rsidR="00FC3500" w:rsidRDefault="003B0AD7">
      <w:pPr>
        <w:keepNext/>
        <w:rPr>
          <w:b/>
          <w:u w:val="single"/>
        </w:rPr>
      </w:pPr>
      <w:r>
        <w:rPr>
          <w:b/>
          <w:u w:val="single"/>
        </w:rPr>
        <w:lastRenderedPageBreak/>
        <w:t>Americans with Disabilities Act (ADA) Statement</w:t>
      </w:r>
    </w:p>
    <w:p w:rsidR="00FC3500" w:rsidRDefault="00FC3500">
      <w:pPr>
        <w:keepNext/>
        <w:rPr>
          <w:b/>
          <w:u w:val="single"/>
        </w:rPr>
      </w:pPr>
    </w:p>
    <w:p w:rsidR="00FC3500" w:rsidRDefault="003B0AD7">
      <w:pPr>
        <w:pStyle w:val="BodyText"/>
        <w:spacing w:after="0"/>
      </w:pPr>
      <w: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t>Olpin</w:t>
      </w:r>
      <w:proofErr w:type="spellEnd"/>
      <w:r>
        <w:t xml:space="preserve"> Union Building, 581-5020 (V/TDD).  CDS will work with you and the instructor to make arrangements for accommodations.  All information in this course can be made available in alternative format with prior notification to the Center for Disability Services. </w:t>
      </w:r>
    </w:p>
    <w:p w:rsidR="00FC3500" w:rsidRDefault="003B0AD7">
      <w:pPr>
        <w:pStyle w:val="BodyTextSingleCont"/>
      </w:pPr>
      <w:r>
        <w:t>(</w:t>
      </w:r>
      <w:r w:rsidRPr="008D23D7">
        <w:t>www.hr.utah.edu/oeo/ada/guide/faculty/</w:t>
      </w:r>
      <w:r>
        <w:t>)</w:t>
      </w:r>
    </w:p>
    <w:p w:rsidR="00FC3500" w:rsidRDefault="003B0AD7">
      <w:pPr>
        <w:keepNext/>
        <w:rPr>
          <w:b/>
          <w:u w:val="single"/>
        </w:rPr>
      </w:pPr>
      <w:r>
        <w:rPr>
          <w:b/>
          <w:u w:val="single"/>
        </w:rPr>
        <w:t>Wellness Statement</w:t>
      </w:r>
    </w:p>
    <w:p w:rsidR="00FC3500" w:rsidRDefault="00FC3500">
      <w:pPr>
        <w:keepNext/>
        <w:rPr>
          <w:b/>
          <w:u w:val="single"/>
        </w:rPr>
      </w:pPr>
    </w:p>
    <w:p w:rsidR="00FC3500" w:rsidRDefault="003B0AD7">
      <w:pPr>
        <w:pStyle w:val="BodyText"/>
      </w:pPr>
      <w:r>
        <w:t xml:space="preserve">Personal concerns such as stress, anxiety, relationship difficulties, depression, cross-cultural differences, etc. can interfere with a student’s ability to succeed and thrive at the University of Utah.  </w:t>
      </w:r>
      <w:proofErr w:type="gramStart"/>
      <w:r>
        <w:t xml:space="preserve">For helpful resources contact the Center for Student Wellness – </w:t>
      </w:r>
      <w:r w:rsidRPr="008D23D7">
        <w:t>www.wellness.utah.edu</w:t>
      </w:r>
      <w:r>
        <w:t>; 801-581-7776.</w:t>
      </w:r>
      <w:proofErr w:type="gramEnd"/>
    </w:p>
    <w:p w:rsidR="00FC3500" w:rsidRDefault="00FC3500">
      <w:pPr>
        <w:spacing w:after="120"/>
        <w:ind w:firstLine="720"/>
      </w:pPr>
    </w:p>
    <w:sectPr w:rsidR="00FC35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8F" w:rsidRDefault="004A1D8F">
      <w:r>
        <w:separator/>
      </w:r>
    </w:p>
  </w:endnote>
  <w:endnote w:type="continuationSeparator" w:id="0">
    <w:p w:rsidR="004A1D8F" w:rsidRDefault="004A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D7" w:rsidRDefault="008D23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00" w:rsidRDefault="00F95AB0" w:rsidP="00F95AB0">
    <w:pPr>
      <w:pStyle w:val="Footer"/>
      <w:spacing w:line="200" w:lineRule="exact"/>
      <w:jc w:val="left"/>
    </w:pPr>
    <w:r w:rsidRPr="00F95AB0">
      <w:rPr>
        <w:rStyle w:val="zzmpTrailerItem"/>
      </w:rPr>
      <w:t>4815-6170-3185.1</w:t>
    </w:r>
    <w:r w:rsidRPr="00F95AB0">
      <w:t xml:space="preserve"> </w:t>
    </w:r>
    <w:r>
      <w:tab/>
    </w:r>
    <w:r>
      <w:fldChar w:fldCharType="begin"/>
    </w:r>
    <w:r>
      <w:instrText xml:space="preserve"> PAGE   \* MERGEFORMAT </w:instrText>
    </w:r>
    <w:r>
      <w:fldChar w:fldCharType="separate"/>
    </w:r>
    <w:r w:rsidR="00BB23FE">
      <w:rPr>
        <w:noProof/>
      </w:rPr>
      <w:t>3</w:t>
    </w:r>
    <w:r>
      <w:rPr>
        <w:noProof/>
      </w:rPr>
      <w:fldChar w:fldCharType="end"/>
    </w:r>
  </w:p>
  <w:p w:rsidR="00FC3500" w:rsidRDefault="00FC3500">
    <w:pPr>
      <w:pStyle w:val="Footer"/>
      <w:spacing w:line="200" w:lineRule="exact"/>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B0" w:rsidRDefault="00F95AB0" w:rsidP="00F95AB0">
    <w:pPr>
      <w:pStyle w:val="Footer"/>
      <w:spacing w:line="200" w:lineRule="exact"/>
      <w:jc w:val="left"/>
    </w:pPr>
    <w:r w:rsidRPr="00F95AB0">
      <w:rPr>
        <w:rStyle w:val="zzmpTrailerItem"/>
      </w:rPr>
      <w:t>4815-6170-3185.1</w:t>
    </w:r>
    <w:r w:rsidRPr="00F95AB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8F" w:rsidRDefault="004A1D8F">
      <w:r>
        <w:separator/>
      </w:r>
    </w:p>
  </w:footnote>
  <w:footnote w:type="continuationSeparator" w:id="0">
    <w:p w:rsidR="004A1D8F" w:rsidRDefault="004A1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D7" w:rsidRDefault="008D23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D7" w:rsidRDefault="008D23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D7" w:rsidRDefault="008D23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Type" w:val="100"/>
    <w:docVar w:name="MPDocID" w:val="4815-6170-3185.1"/>
  </w:docVars>
  <w:rsids>
    <w:rsidRoot w:val="00FC3500"/>
    <w:rsid w:val="003B0AD7"/>
    <w:rsid w:val="004A1D8F"/>
    <w:rsid w:val="00754F3F"/>
    <w:rsid w:val="007A3297"/>
    <w:rsid w:val="008D23D7"/>
    <w:rsid w:val="00975B20"/>
    <w:rsid w:val="00B440A6"/>
    <w:rsid w:val="00BB23FE"/>
    <w:rsid w:val="00F95AB0"/>
    <w:rsid w:val="00FC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able of authorities" w:uiPriority="0"/>
    <w:lsdException w:name="toa heading" w:uiPriority="0"/>
    <w:lsdException w:name="Title" w:semiHidden="0" w:uiPriority="1" w:unhideWhenUsed="0" w:qFormat="1"/>
    <w:lsdException w:name="Signature" w:uiPriority="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ind w:firstLine="7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BodyTextContinued">
    <w:name w:val="Body Text Continued"/>
    <w:basedOn w:val="BodyText"/>
    <w:qFormat/>
    <w:pPr>
      <w:ind w:firstLine="0"/>
    </w:pPr>
    <w:rPr>
      <w:szCs w:val="20"/>
    </w:rPr>
  </w:style>
  <w:style w:type="paragraph" w:customStyle="1" w:styleId="BodyTextContinued1">
    <w:name w:val="Body Text Continued1"/>
    <w:aliases w:val="btc"/>
    <w:basedOn w:val="BodyTextContinued"/>
    <w:next w:val="BodyTextContinued"/>
  </w:style>
  <w:style w:type="paragraph" w:customStyle="1" w:styleId="BodyTextDouble">
    <w:name w:val="Body Text Double"/>
    <w:basedOn w:val="Normal"/>
    <w:qFormat/>
    <w:pPr>
      <w:spacing w:line="480" w:lineRule="auto"/>
      <w:ind w:firstLine="720"/>
    </w:pPr>
  </w:style>
  <w:style w:type="paragraph" w:customStyle="1" w:styleId="BodyTextDoubleContinued">
    <w:name w:val="Body Text Double Continued"/>
    <w:basedOn w:val="Normal"/>
    <w:qFormat/>
    <w:pPr>
      <w:spacing w:line="480" w:lineRule="auto"/>
    </w:pPr>
  </w:style>
  <w:style w:type="paragraph" w:customStyle="1" w:styleId="BodyTextDoubleContinued1">
    <w:name w:val="Body Text Double Continued1"/>
    <w:aliases w:val="btdc"/>
    <w:basedOn w:val="BodyTextDoubleContinued"/>
    <w:next w:val="BodyTextDoubleContinued"/>
  </w:style>
  <w:style w:type="paragraph" w:customStyle="1" w:styleId="BodyTextDouble1">
    <w:name w:val="Body Text Double1"/>
    <w:aliases w:val="btd"/>
    <w:basedOn w:val="BodyTextDouble"/>
    <w:next w:val="BodyTextDouble"/>
  </w:style>
  <w:style w:type="paragraph" w:customStyle="1" w:styleId="BodyTextSingle">
    <w:name w:val="Body Text Single"/>
    <w:basedOn w:val="Normal"/>
    <w:semiHidden/>
    <w:pPr>
      <w:spacing w:after="240"/>
      <w:ind w:firstLine="720"/>
    </w:pPr>
  </w:style>
  <w:style w:type="paragraph" w:customStyle="1" w:styleId="BodyTextSingleCont">
    <w:name w:val="Body Text Single Cont."/>
    <w:basedOn w:val="Normal"/>
    <w:next w:val="BodyTextSingle"/>
    <w:semiHidden/>
    <w:pPr>
      <w:spacing w:after="240"/>
    </w:pPr>
  </w:style>
  <w:style w:type="paragraph" w:customStyle="1" w:styleId="BodyText1">
    <w:name w:val="Body Text1"/>
    <w:aliases w:val="bt"/>
    <w:basedOn w:val="BodyText"/>
    <w:next w:val="BodyText"/>
  </w:style>
  <w:style w:type="paragraph" w:customStyle="1" w:styleId="CaptionLeft">
    <w:name w:val="Caption Left"/>
    <w:basedOn w:val="Normal"/>
    <w:next w:val="BodyTextSingle"/>
    <w:semiHidden/>
    <w:unhideWhenUsed/>
    <w:pPr>
      <w:keepNext/>
      <w:spacing w:after="240"/>
    </w:pPr>
    <w:rPr>
      <w:b/>
    </w:rPr>
  </w:style>
  <w:style w:type="paragraph" w:customStyle="1" w:styleId="CenteredBold">
    <w:name w:val="Centered Bold"/>
    <w:basedOn w:val="Normal"/>
    <w:next w:val="BodyTextSingle"/>
    <w:semiHidden/>
    <w:unhideWhenUsed/>
    <w:pPr>
      <w:keepNext/>
      <w:spacing w:after="240"/>
      <w:jc w:val="center"/>
    </w:pPr>
    <w:rPr>
      <w:b/>
      <w:caps/>
    </w:rPr>
  </w:style>
  <w:style w:type="paragraph" w:customStyle="1" w:styleId="CenteredBoldFollow">
    <w:name w:val="Centered Bold Follow"/>
    <w:aliases w:val="cbf"/>
    <w:basedOn w:val="Normal"/>
    <w:pPr>
      <w:keepNext/>
      <w:spacing w:after="240"/>
      <w:jc w:val="center"/>
    </w:pPr>
    <w:rPr>
      <w:b/>
    </w:rPr>
  </w:style>
  <w:style w:type="paragraph" w:customStyle="1" w:styleId="CenteredBoldLower">
    <w:name w:val="Centered Bold Lower"/>
    <w:aliases w:val="cbl"/>
    <w:basedOn w:val="Normal"/>
    <w:next w:val="CenteredBoldFollow"/>
    <w:pPr>
      <w:keepNext/>
      <w:jc w:val="center"/>
    </w:pPr>
    <w:rPr>
      <w:b/>
      <w:u w:val="single"/>
    </w:rPr>
  </w:style>
  <w:style w:type="paragraph" w:customStyle="1" w:styleId="CenteredBoldUpper">
    <w:name w:val="Centered Bold Upper"/>
    <w:aliases w:val="cbu"/>
    <w:basedOn w:val="CenteredBold"/>
    <w:next w:val="CenteredBoldFollow"/>
    <w:pPr>
      <w:widowControl w:val="0"/>
      <w:spacing w:line="240" w:lineRule="exact"/>
    </w:pPr>
    <w:rPr>
      <w:u w:val="single"/>
    </w:rPr>
  </w:style>
  <w:style w:type="paragraph" w:styleId="EndnoteText">
    <w:name w:val="endnote text"/>
    <w:basedOn w:val="Normal"/>
    <w:link w:val="EndnoteTextChar"/>
    <w:semiHidden/>
    <w:pPr>
      <w:spacing w:after="120"/>
    </w:pPr>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customStyle="1" w:styleId="ExhibitHeading">
    <w:name w:val="Exhibit Heading"/>
    <w:basedOn w:val="Normal"/>
    <w:link w:val="ExhibitHeadingChar"/>
    <w:uiPriority w:val="1"/>
    <w:qFormat/>
    <w:pPr>
      <w:jc w:val="center"/>
    </w:pPr>
    <w:rPr>
      <w:b/>
    </w:rPr>
  </w:style>
  <w:style w:type="character" w:customStyle="1" w:styleId="ExhibitHeadingChar">
    <w:name w:val="Exhibit Heading Char"/>
    <w:basedOn w:val="DefaultParagraphFont"/>
    <w:link w:val="ExhibitHeading"/>
    <w:uiPriority w:val="1"/>
    <w:rPr>
      <w:rFonts w:ascii="Times New Roman" w:eastAsia="Times New Roman" w:hAnsi="Times New Roman" w:cs="Times New Roman"/>
      <w:b/>
      <w:sz w:val="24"/>
      <w:szCs w:val="24"/>
    </w:rPr>
  </w:style>
  <w:style w:type="paragraph" w:styleId="Footer">
    <w:name w:val="footer"/>
    <w:basedOn w:val="Normal"/>
    <w:link w:val="FooterChar"/>
    <w:uiPriority w:val="99"/>
    <w:unhideWhenUsed/>
    <w:pPr>
      <w:tabs>
        <w:tab w:val="center" w:pos="4680"/>
        <w:tab w:val="right" w:pos="9360"/>
      </w:tabs>
    </w:pPr>
    <w:rPr>
      <w:sz w:val="20"/>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rPr>
  </w:style>
  <w:style w:type="paragraph" w:customStyle="1" w:styleId="FootnoteQuote">
    <w:name w:val="Footnote Quote"/>
    <w:basedOn w:val="Normal"/>
    <w:next w:val="FootnoteText"/>
    <w:semiHidden/>
    <w:unhideWhenUsed/>
    <w:pPr>
      <w:spacing w:before="120"/>
      <w:ind w:left="720" w:right="720"/>
    </w:pPr>
    <w:rPr>
      <w:sz w:val="20"/>
    </w:rPr>
  </w:style>
  <w:style w:type="paragraph" w:styleId="FootnoteText">
    <w:name w:val="footnote text"/>
    <w:basedOn w:val="Normal"/>
    <w:link w:val="FootnoteTextChar"/>
    <w:semiHidden/>
    <w:unhideWhenUsed/>
    <w:pPr>
      <w:spacing w:before="1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customStyle="1" w:styleId="IndentDouble">
    <w:name w:val="Indent Double"/>
    <w:basedOn w:val="Normal"/>
    <w:semiHidden/>
    <w:pPr>
      <w:spacing w:line="480" w:lineRule="auto"/>
      <w:ind w:left="720"/>
    </w:pPr>
  </w:style>
  <w:style w:type="paragraph" w:customStyle="1" w:styleId="IndentSingle">
    <w:name w:val="Indent Single"/>
    <w:basedOn w:val="Normal"/>
    <w:semiHidden/>
    <w:pPr>
      <w:spacing w:after="240"/>
      <w:ind w:left="720"/>
    </w:pPr>
  </w:style>
  <w:style w:type="character" w:customStyle="1" w:styleId="Italics">
    <w:name w:val="Italics"/>
    <w:basedOn w:val="DefaultParagraphFont"/>
    <w:semiHidden/>
    <w:unhideWhenUsed/>
    <w:rPr>
      <w:i/>
    </w:rPr>
  </w:style>
  <w:style w:type="character" w:styleId="PageNumber">
    <w:name w:val="page number"/>
    <w:basedOn w:val="DefaultParagraphFont"/>
    <w:semiHidden/>
    <w:unhideWhenUsed/>
  </w:style>
  <w:style w:type="paragraph" w:styleId="Quote">
    <w:name w:val="Quote"/>
    <w:basedOn w:val="Normal"/>
    <w:next w:val="BodyTextSingleCont"/>
    <w:link w:val="QuoteChar"/>
    <w:qFormat/>
    <w:pPr>
      <w:spacing w:after="240"/>
      <w:ind w:left="1440" w:right="1440"/>
    </w:pPr>
  </w:style>
  <w:style w:type="character" w:customStyle="1" w:styleId="QuoteChar">
    <w:name w:val="Quote Char"/>
    <w:basedOn w:val="DefaultParagraphFont"/>
    <w:link w:val="Quote"/>
    <w:rPr>
      <w:rFonts w:ascii="Times New Roman" w:eastAsia="Times New Roman" w:hAnsi="Times New Roman" w:cs="Times New Roman"/>
      <w:sz w:val="24"/>
      <w:szCs w:val="24"/>
    </w:rPr>
  </w:style>
  <w:style w:type="paragraph" w:styleId="Signature">
    <w:name w:val="Signature"/>
    <w:basedOn w:val="Normal"/>
    <w:link w:val="SignatureChar"/>
    <w:qFormat/>
    <w:pPr>
      <w:ind w:left="4320"/>
    </w:p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TableofAuthorities">
    <w:name w:val="table of authorities"/>
    <w:basedOn w:val="Normal"/>
    <w:next w:val="Normal"/>
    <w:semiHidden/>
    <w:unhideWhenUsed/>
    <w:pPr>
      <w:ind w:left="240" w:hanging="240"/>
    </w:pPr>
  </w:style>
  <w:style w:type="paragraph" w:styleId="Title">
    <w:name w:val="Title"/>
    <w:basedOn w:val="Normal"/>
    <w:next w:val="Normal"/>
    <w:link w:val="TitleChar"/>
    <w:uiPriority w:val="1"/>
    <w:qFormat/>
    <w:pPr>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Pr>
      <w:rFonts w:ascii="Times New Roman" w:eastAsiaTheme="majorEastAsia" w:hAnsi="Times New Roman" w:cstheme="majorBidi"/>
      <w:sz w:val="28"/>
      <w:szCs w:val="52"/>
    </w:rPr>
  </w:style>
  <w:style w:type="paragraph" w:styleId="TOAHeading">
    <w:name w:val="toa heading"/>
    <w:basedOn w:val="Normal"/>
    <w:next w:val="Normal"/>
    <w:pPr>
      <w:spacing w:before="120" w:after="120"/>
    </w:pPr>
    <w:rPr>
      <w:rFonts w:eastAsiaTheme="majorEastAsia" w:cstheme="majorBidi"/>
      <w:b/>
      <w:bCs/>
    </w:rPr>
  </w:style>
  <w:style w:type="character" w:styleId="Hyperlink">
    <w:name w:val="Hyperlink"/>
    <w:basedOn w:val="DefaultParagraphFont"/>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zzmpTrailerItem">
    <w:name w:val="zzmpTrailerItem"/>
    <w:basedOn w:val="DefaultParagraphFont"/>
    <w:rsid w:val="00F95AB0"/>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able of authorities" w:uiPriority="0"/>
    <w:lsdException w:name="toa heading" w:uiPriority="0"/>
    <w:lsdException w:name="Title" w:semiHidden="0" w:uiPriority="1" w:unhideWhenUsed="0" w:qFormat="1"/>
    <w:lsdException w:name="Signature" w:uiPriority="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ind w:firstLine="7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customStyle="1" w:styleId="BodyTextContinued">
    <w:name w:val="Body Text Continued"/>
    <w:basedOn w:val="BodyText"/>
    <w:qFormat/>
    <w:pPr>
      <w:ind w:firstLine="0"/>
    </w:pPr>
    <w:rPr>
      <w:szCs w:val="20"/>
    </w:rPr>
  </w:style>
  <w:style w:type="paragraph" w:customStyle="1" w:styleId="BodyTextContinued1">
    <w:name w:val="Body Text Continued1"/>
    <w:aliases w:val="btc"/>
    <w:basedOn w:val="BodyTextContinued"/>
    <w:next w:val="BodyTextContinued"/>
  </w:style>
  <w:style w:type="paragraph" w:customStyle="1" w:styleId="BodyTextDouble">
    <w:name w:val="Body Text Double"/>
    <w:basedOn w:val="Normal"/>
    <w:qFormat/>
    <w:pPr>
      <w:spacing w:line="480" w:lineRule="auto"/>
      <w:ind w:firstLine="720"/>
    </w:pPr>
  </w:style>
  <w:style w:type="paragraph" w:customStyle="1" w:styleId="BodyTextDoubleContinued">
    <w:name w:val="Body Text Double Continued"/>
    <w:basedOn w:val="Normal"/>
    <w:qFormat/>
    <w:pPr>
      <w:spacing w:line="480" w:lineRule="auto"/>
    </w:pPr>
  </w:style>
  <w:style w:type="paragraph" w:customStyle="1" w:styleId="BodyTextDoubleContinued1">
    <w:name w:val="Body Text Double Continued1"/>
    <w:aliases w:val="btdc"/>
    <w:basedOn w:val="BodyTextDoubleContinued"/>
    <w:next w:val="BodyTextDoubleContinued"/>
  </w:style>
  <w:style w:type="paragraph" w:customStyle="1" w:styleId="BodyTextDouble1">
    <w:name w:val="Body Text Double1"/>
    <w:aliases w:val="btd"/>
    <w:basedOn w:val="BodyTextDouble"/>
    <w:next w:val="BodyTextDouble"/>
  </w:style>
  <w:style w:type="paragraph" w:customStyle="1" w:styleId="BodyTextSingle">
    <w:name w:val="Body Text Single"/>
    <w:basedOn w:val="Normal"/>
    <w:semiHidden/>
    <w:pPr>
      <w:spacing w:after="240"/>
      <w:ind w:firstLine="720"/>
    </w:pPr>
  </w:style>
  <w:style w:type="paragraph" w:customStyle="1" w:styleId="BodyTextSingleCont">
    <w:name w:val="Body Text Single Cont."/>
    <w:basedOn w:val="Normal"/>
    <w:next w:val="BodyTextSingle"/>
    <w:semiHidden/>
    <w:pPr>
      <w:spacing w:after="240"/>
    </w:pPr>
  </w:style>
  <w:style w:type="paragraph" w:customStyle="1" w:styleId="BodyText1">
    <w:name w:val="Body Text1"/>
    <w:aliases w:val="bt"/>
    <w:basedOn w:val="BodyText"/>
    <w:next w:val="BodyText"/>
  </w:style>
  <w:style w:type="paragraph" w:customStyle="1" w:styleId="CaptionLeft">
    <w:name w:val="Caption Left"/>
    <w:basedOn w:val="Normal"/>
    <w:next w:val="BodyTextSingle"/>
    <w:semiHidden/>
    <w:unhideWhenUsed/>
    <w:pPr>
      <w:keepNext/>
      <w:spacing w:after="240"/>
    </w:pPr>
    <w:rPr>
      <w:b/>
    </w:rPr>
  </w:style>
  <w:style w:type="paragraph" w:customStyle="1" w:styleId="CenteredBold">
    <w:name w:val="Centered Bold"/>
    <w:basedOn w:val="Normal"/>
    <w:next w:val="BodyTextSingle"/>
    <w:semiHidden/>
    <w:unhideWhenUsed/>
    <w:pPr>
      <w:keepNext/>
      <w:spacing w:after="240"/>
      <w:jc w:val="center"/>
    </w:pPr>
    <w:rPr>
      <w:b/>
      <w:caps/>
    </w:rPr>
  </w:style>
  <w:style w:type="paragraph" w:customStyle="1" w:styleId="CenteredBoldFollow">
    <w:name w:val="Centered Bold Follow"/>
    <w:aliases w:val="cbf"/>
    <w:basedOn w:val="Normal"/>
    <w:pPr>
      <w:keepNext/>
      <w:spacing w:after="240"/>
      <w:jc w:val="center"/>
    </w:pPr>
    <w:rPr>
      <w:b/>
    </w:rPr>
  </w:style>
  <w:style w:type="paragraph" w:customStyle="1" w:styleId="CenteredBoldLower">
    <w:name w:val="Centered Bold Lower"/>
    <w:aliases w:val="cbl"/>
    <w:basedOn w:val="Normal"/>
    <w:next w:val="CenteredBoldFollow"/>
    <w:pPr>
      <w:keepNext/>
      <w:jc w:val="center"/>
    </w:pPr>
    <w:rPr>
      <w:b/>
      <w:u w:val="single"/>
    </w:rPr>
  </w:style>
  <w:style w:type="paragraph" w:customStyle="1" w:styleId="CenteredBoldUpper">
    <w:name w:val="Centered Bold Upper"/>
    <w:aliases w:val="cbu"/>
    <w:basedOn w:val="CenteredBold"/>
    <w:next w:val="CenteredBoldFollow"/>
    <w:pPr>
      <w:widowControl w:val="0"/>
      <w:spacing w:line="240" w:lineRule="exact"/>
    </w:pPr>
    <w:rPr>
      <w:u w:val="single"/>
    </w:rPr>
  </w:style>
  <w:style w:type="paragraph" w:styleId="EndnoteText">
    <w:name w:val="endnote text"/>
    <w:basedOn w:val="Normal"/>
    <w:link w:val="EndnoteTextChar"/>
    <w:semiHidden/>
    <w:pPr>
      <w:spacing w:after="120"/>
    </w:pPr>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customStyle="1" w:styleId="ExhibitHeading">
    <w:name w:val="Exhibit Heading"/>
    <w:basedOn w:val="Normal"/>
    <w:link w:val="ExhibitHeadingChar"/>
    <w:uiPriority w:val="1"/>
    <w:qFormat/>
    <w:pPr>
      <w:jc w:val="center"/>
    </w:pPr>
    <w:rPr>
      <w:b/>
    </w:rPr>
  </w:style>
  <w:style w:type="character" w:customStyle="1" w:styleId="ExhibitHeadingChar">
    <w:name w:val="Exhibit Heading Char"/>
    <w:basedOn w:val="DefaultParagraphFont"/>
    <w:link w:val="ExhibitHeading"/>
    <w:uiPriority w:val="1"/>
    <w:rPr>
      <w:rFonts w:ascii="Times New Roman" w:eastAsia="Times New Roman" w:hAnsi="Times New Roman" w:cs="Times New Roman"/>
      <w:b/>
      <w:sz w:val="24"/>
      <w:szCs w:val="24"/>
    </w:rPr>
  </w:style>
  <w:style w:type="paragraph" w:styleId="Footer">
    <w:name w:val="footer"/>
    <w:basedOn w:val="Normal"/>
    <w:link w:val="FooterChar"/>
    <w:uiPriority w:val="99"/>
    <w:unhideWhenUsed/>
    <w:pPr>
      <w:tabs>
        <w:tab w:val="center" w:pos="4680"/>
        <w:tab w:val="right" w:pos="9360"/>
      </w:tabs>
    </w:pPr>
    <w:rPr>
      <w:sz w:val="20"/>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rPr>
  </w:style>
  <w:style w:type="paragraph" w:customStyle="1" w:styleId="FootnoteQuote">
    <w:name w:val="Footnote Quote"/>
    <w:basedOn w:val="Normal"/>
    <w:next w:val="FootnoteText"/>
    <w:semiHidden/>
    <w:unhideWhenUsed/>
    <w:pPr>
      <w:spacing w:before="120"/>
      <w:ind w:left="720" w:right="720"/>
    </w:pPr>
    <w:rPr>
      <w:sz w:val="20"/>
    </w:rPr>
  </w:style>
  <w:style w:type="paragraph" w:styleId="FootnoteText">
    <w:name w:val="footnote text"/>
    <w:basedOn w:val="Normal"/>
    <w:link w:val="FootnoteTextChar"/>
    <w:semiHidden/>
    <w:unhideWhenUsed/>
    <w:pPr>
      <w:spacing w:before="1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customStyle="1" w:styleId="IndentDouble">
    <w:name w:val="Indent Double"/>
    <w:basedOn w:val="Normal"/>
    <w:semiHidden/>
    <w:pPr>
      <w:spacing w:line="480" w:lineRule="auto"/>
      <w:ind w:left="720"/>
    </w:pPr>
  </w:style>
  <w:style w:type="paragraph" w:customStyle="1" w:styleId="IndentSingle">
    <w:name w:val="Indent Single"/>
    <w:basedOn w:val="Normal"/>
    <w:semiHidden/>
    <w:pPr>
      <w:spacing w:after="240"/>
      <w:ind w:left="720"/>
    </w:pPr>
  </w:style>
  <w:style w:type="character" w:customStyle="1" w:styleId="Italics">
    <w:name w:val="Italics"/>
    <w:basedOn w:val="DefaultParagraphFont"/>
    <w:semiHidden/>
    <w:unhideWhenUsed/>
    <w:rPr>
      <w:i/>
    </w:rPr>
  </w:style>
  <w:style w:type="character" w:styleId="PageNumber">
    <w:name w:val="page number"/>
    <w:basedOn w:val="DefaultParagraphFont"/>
    <w:semiHidden/>
    <w:unhideWhenUsed/>
  </w:style>
  <w:style w:type="paragraph" w:styleId="Quote">
    <w:name w:val="Quote"/>
    <w:basedOn w:val="Normal"/>
    <w:next w:val="BodyTextSingleCont"/>
    <w:link w:val="QuoteChar"/>
    <w:qFormat/>
    <w:pPr>
      <w:spacing w:after="240"/>
      <w:ind w:left="1440" w:right="1440"/>
    </w:pPr>
  </w:style>
  <w:style w:type="character" w:customStyle="1" w:styleId="QuoteChar">
    <w:name w:val="Quote Char"/>
    <w:basedOn w:val="DefaultParagraphFont"/>
    <w:link w:val="Quote"/>
    <w:rPr>
      <w:rFonts w:ascii="Times New Roman" w:eastAsia="Times New Roman" w:hAnsi="Times New Roman" w:cs="Times New Roman"/>
      <w:sz w:val="24"/>
      <w:szCs w:val="24"/>
    </w:rPr>
  </w:style>
  <w:style w:type="paragraph" w:styleId="Signature">
    <w:name w:val="Signature"/>
    <w:basedOn w:val="Normal"/>
    <w:link w:val="SignatureChar"/>
    <w:qFormat/>
    <w:pPr>
      <w:ind w:left="4320"/>
    </w:p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TableofAuthorities">
    <w:name w:val="table of authorities"/>
    <w:basedOn w:val="Normal"/>
    <w:next w:val="Normal"/>
    <w:semiHidden/>
    <w:unhideWhenUsed/>
    <w:pPr>
      <w:ind w:left="240" w:hanging="240"/>
    </w:pPr>
  </w:style>
  <w:style w:type="paragraph" w:styleId="Title">
    <w:name w:val="Title"/>
    <w:basedOn w:val="Normal"/>
    <w:next w:val="Normal"/>
    <w:link w:val="TitleChar"/>
    <w:uiPriority w:val="1"/>
    <w:qFormat/>
    <w:pPr>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Pr>
      <w:rFonts w:ascii="Times New Roman" w:eastAsiaTheme="majorEastAsia" w:hAnsi="Times New Roman" w:cstheme="majorBidi"/>
      <w:sz w:val="28"/>
      <w:szCs w:val="52"/>
    </w:rPr>
  </w:style>
  <w:style w:type="paragraph" w:styleId="TOAHeading">
    <w:name w:val="toa heading"/>
    <w:basedOn w:val="Normal"/>
    <w:next w:val="Normal"/>
    <w:pPr>
      <w:spacing w:before="120" w:after="120"/>
    </w:pPr>
    <w:rPr>
      <w:rFonts w:eastAsiaTheme="majorEastAsia" w:cstheme="majorBidi"/>
      <w:b/>
      <w:bCs/>
    </w:rPr>
  </w:style>
  <w:style w:type="character" w:styleId="Hyperlink">
    <w:name w:val="Hyperlink"/>
    <w:basedOn w:val="DefaultParagraphFont"/>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zzmpTrailerItem">
    <w:name w:val="zzmpTrailerItem"/>
    <w:basedOn w:val="DefaultParagraphFont"/>
    <w:rsid w:val="00F95AB0"/>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4288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2011-12-12T20:14:00Z</cp:lastPrinted>
  <dcterms:created xsi:type="dcterms:W3CDTF">2013-01-07T17:56:00Z</dcterms:created>
  <dcterms:modified xsi:type="dcterms:W3CDTF">2013-01-07T17:56:00Z</dcterms:modified>
</cp:coreProperties>
</file>